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"/>
        <w:tblW w:w="11322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"/>
        <w:gridCol w:w="3583"/>
        <w:gridCol w:w="1284"/>
        <w:gridCol w:w="1276"/>
        <w:gridCol w:w="1276"/>
        <w:gridCol w:w="1275"/>
        <w:gridCol w:w="1053"/>
        <w:gridCol w:w="1094"/>
      </w:tblGrid>
      <w:tr w:rsidR="005049F9" w:rsidRPr="001A5CA9" w:rsidTr="00231D4C">
        <w:trPr>
          <w:cantSplit/>
          <w:tblHeader/>
        </w:trPr>
        <w:tc>
          <w:tcPr>
            <w:tcW w:w="48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9F9" w:rsidRPr="001A5CA9" w:rsidRDefault="00E75595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b/>
                <w:sz w:val="18"/>
                <w:szCs w:val="18"/>
              </w:rPr>
              <w:t>No</w:t>
            </w:r>
          </w:p>
        </w:tc>
        <w:tc>
          <w:tcPr>
            <w:tcW w:w="358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9F9" w:rsidRPr="001A5CA9" w:rsidRDefault="00E75595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b/>
                <w:sz w:val="18"/>
                <w:szCs w:val="18"/>
              </w:rPr>
              <w:t>CONCEPTO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9F9" w:rsidRPr="001A5CA9" w:rsidRDefault="00E75595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b/>
                <w:sz w:val="18"/>
                <w:szCs w:val="18"/>
              </w:rPr>
              <w:t>DOCUMENTO FUENTE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9F9" w:rsidRPr="001A5CA9" w:rsidRDefault="00E75595">
            <w:pPr>
              <w:ind w:left="0" w:right="-57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b/>
                <w:sz w:val="18"/>
                <w:szCs w:val="18"/>
              </w:rPr>
              <w:t>PERIODI-</w:t>
            </w:r>
          </w:p>
          <w:p w:rsidR="005049F9" w:rsidRPr="001A5CA9" w:rsidRDefault="00E75595">
            <w:pPr>
              <w:ind w:left="0" w:right="-57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b/>
                <w:sz w:val="18"/>
                <w:szCs w:val="18"/>
              </w:rPr>
              <w:t>CIDAD</w:t>
            </w:r>
          </w:p>
        </w:tc>
        <w:tc>
          <w:tcPr>
            <w:tcW w:w="46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9F9" w:rsidRPr="001A5CA9" w:rsidRDefault="00E75595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b/>
                <w:sz w:val="18"/>
                <w:szCs w:val="18"/>
              </w:rPr>
              <w:t>R E G I S T R O</w:t>
            </w:r>
          </w:p>
        </w:tc>
      </w:tr>
      <w:tr w:rsidR="005049F9" w:rsidRPr="001A5CA9" w:rsidTr="00231D4C">
        <w:trPr>
          <w:cantSplit/>
          <w:tblHeader/>
        </w:trPr>
        <w:tc>
          <w:tcPr>
            <w:tcW w:w="48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9F9" w:rsidRPr="001A5CA9" w:rsidRDefault="0050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358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9F9" w:rsidRPr="001A5CA9" w:rsidRDefault="0050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9F9" w:rsidRPr="001A5CA9" w:rsidRDefault="0050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9F9" w:rsidRPr="001A5CA9" w:rsidRDefault="0050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9F9" w:rsidRPr="001A5CA9" w:rsidRDefault="00E75595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b/>
                <w:sz w:val="18"/>
                <w:szCs w:val="18"/>
              </w:rPr>
              <w:t>CONTABLE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9F9" w:rsidRPr="001A5CA9" w:rsidRDefault="00E75595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b/>
                <w:sz w:val="18"/>
                <w:szCs w:val="18"/>
              </w:rPr>
              <w:t>PRESUPUESTAL</w:t>
            </w:r>
          </w:p>
        </w:tc>
      </w:tr>
      <w:tr w:rsidR="005049F9" w:rsidRPr="001A5CA9" w:rsidTr="00231D4C">
        <w:trPr>
          <w:cantSplit/>
          <w:tblHeader/>
        </w:trPr>
        <w:tc>
          <w:tcPr>
            <w:tcW w:w="48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9F9" w:rsidRPr="001A5CA9" w:rsidRDefault="0050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358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9F9" w:rsidRPr="001A5CA9" w:rsidRDefault="0050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9F9" w:rsidRPr="001A5CA9" w:rsidRDefault="0050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9F9" w:rsidRPr="001A5CA9" w:rsidRDefault="0050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9F9" w:rsidRPr="001A5CA9" w:rsidRDefault="00E75595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b/>
                <w:sz w:val="18"/>
                <w:szCs w:val="18"/>
              </w:rPr>
              <w:t>CARGO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9F9" w:rsidRPr="001A5CA9" w:rsidRDefault="00E75595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b/>
                <w:sz w:val="18"/>
                <w:szCs w:val="18"/>
              </w:rPr>
              <w:t>ABONO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9F9" w:rsidRPr="001A5CA9" w:rsidRDefault="00E75595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b/>
                <w:sz w:val="18"/>
                <w:szCs w:val="18"/>
              </w:rPr>
              <w:t>CARGO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9F9" w:rsidRPr="001A5CA9" w:rsidRDefault="00E75595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b/>
                <w:sz w:val="18"/>
                <w:szCs w:val="18"/>
              </w:rPr>
              <w:t>ABONO</w:t>
            </w:r>
          </w:p>
        </w:tc>
      </w:tr>
      <w:tr w:rsidR="005049F9" w:rsidRPr="001A5CA9" w:rsidTr="00231D4C">
        <w:trPr>
          <w:trHeight w:val="455"/>
        </w:trPr>
        <w:tc>
          <w:tcPr>
            <w:tcW w:w="481" w:type="dxa"/>
            <w:tcBorders>
              <w:top w:val="single" w:sz="4" w:space="0" w:color="auto"/>
            </w:tcBorders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  <w:tcBorders>
              <w:top w:val="single" w:sz="4" w:space="0" w:color="auto"/>
            </w:tcBorders>
          </w:tcPr>
          <w:p w:rsidR="005049F9" w:rsidRPr="001A5CA9" w:rsidRDefault="00E75595">
            <w:pPr>
              <w:spacing w:before="120"/>
              <w:ind w:left="0" w:right="57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b/>
                <w:sz w:val="18"/>
                <w:szCs w:val="18"/>
              </w:rPr>
              <w:t>BIENES RECIBIDOS EN COMODATO</w:t>
            </w:r>
          </w:p>
        </w:tc>
        <w:tc>
          <w:tcPr>
            <w:tcW w:w="1284" w:type="dxa"/>
            <w:tcBorders>
              <w:top w:val="single" w:sz="4" w:space="0" w:color="auto"/>
            </w:tcBorders>
          </w:tcPr>
          <w:p w:rsidR="005049F9" w:rsidRPr="001A5CA9" w:rsidRDefault="005049F9">
            <w:pPr>
              <w:spacing w:before="120"/>
              <w:ind w:left="0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049F9" w:rsidRPr="001A5CA9" w:rsidRDefault="005049F9">
            <w:pPr>
              <w:widowControl w:val="0"/>
              <w:spacing w:before="12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784"/>
        </w:trPr>
        <w:tc>
          <w:tcPr>
            <w:tcW w:w="481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  <w:r w:rsidRPr="001A5CA9">
              <w:rPr>
                <w:rFonts w:ascii="Noto Sans" w:eastAsia="Montserrat Light" w:hAnsi="Noto Sans" w:cs="Noto Sans"/>
                <w:sz w:val="16"/>
                <w:szCs w:val="16"/>
              </w:rPr>
              <w:t>1</w:t>
            </w:r>
          </w:p>
        </w:tc>
        <w:tc>
          <w:tcPr>
            <w:tcW w:w="3583" w:type="dxa"/>
          </w:tcPr>
          <w:p w:rsidR="005049F9" w:rsidRPr="001A5CA9" w:rsidRDefault="00E75595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Por los bienes recibidos por la Entidad bajo contrato de comodato.</w:t>
            </w:r>
          </w:p>
        </w:tc>
        <w:tc>
          <w:tcPr>
            <w:tcW w:w="1284" w:type="dxa"/>
          </w:tcPr>
          <w:p w:rsidR="005049F9" w:rsidRPr="001A5CA9" w:rsidRDefault="00E75595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Contrato de comodato.</w:t>
            </w:r>
          </w:p>
        </w:tc>
        <w:tc>
          <w:tcPr>
            <w:tcW w:w="1276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Mensual</w:t>
            </w:r>
          </w:p>
        </w:tc>
        <w:tc>
          <w:tcPr>
            <w:tcW w:w="1276" w:type="dxa"/>
          </w:tcPr>
          <w:p w:rsidR="005049F9" w:rsidRPr="001A5CA9" w:rsidRDefault="00E75595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7.6.3.1 </w:t>
            </w: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br/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Bienes Bajo Contrato en Comodato</w:t>
            </w:r>
          </w:p>
        </w:tc>
        <w:tc>
          <w:tcPr>
            <w:tcW w:w="1275" w:type="dxa"/>
          </w:tcPr>
          <w:p w:rsidR="005049F9" w:rsidRPr="001A5CA9" w:rsidRDefault="00E75595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7.6.4.1 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Contrato de Comodato por Bienes</w:t>
            </w:r>
          </w:p>
        </w:tc>
        <w:tc>
          <w:tcPr>
            <w:tcW w:w="1053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784"/>
        </w:trPr>
        <w:tc>
          <w:tcPr>
            <w:tcW w:w="481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  <w:r w:rsidRPr="001A5CA9">
              <w:rPr>
                <w:rFonts w:ascii="Noto Sans" w:eastAsia="Montserrat Light" w:hAnsi="Noto Sans" w:cs="Noto Sans"/>
                <w:sz w:val="16"/>
                <w:szCs w:val="16"/>
              </w:rPr>
              <w:t>2</w:t>
            </w:r>
          </w:p>
        </w:tc>
        <w:tc>
          <w:tcPr>
            <w:tcW w:w="3583" w:type="dxa"/>
          </w:tcPr>
          <w:p w:rsidR="005049F9" w:rsidRPr="001A5CA9" w:rsidRDefault="00E75595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Por los bienes entregados por la Entidad a la conclusión del contrato en comodato.</w:t>
            </w:r>
          </w:p>
        </w:tc>
        <w:tc>
          <w:tcPr>
            <w:tcW w:w="1284" w:type="dxa"/>
          </w:tcPr>
          <w:p w:rsidR="005049F9" w:rsidRPr="001A5CA9" w:rsidRDefault="00E75595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Contrato de comodato.</w:t>
            </w:r>
          </w:p>
        </w:tc>
        <w:tc>
          <w:tcPr>
            <w:tcW w:w="1276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1276" w:type="dxa"/>
          </w:tcPr>
          <w:p w:rsidR="005049F9" w:rsidRPr="001A5CA9" w:rsidRDefault="00E75595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7.6.4.1 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Contrato de Comodato por Bienes</w:t>
            </w:r>
          </w:p>
        </w:tc>
        <w:tc>
          <w:tcPr>
            <w:tcW w:w="1275" w:type="dxa"/>
          </w:tcPr>
          <w:p w:rsidR="005049F9" w:rsidRPr="001A5CA9" w:rsidRDefault="00E75595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7.6.3.1 </w:t>
            </w: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br/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Bienes Bajo Contrato en Comodato</w:t>
            </w:r>
          </w:p>
        </w:tc>
        <w:tc>
          <w:tcPr>
            <w:tcW w:w="1053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627"/>
        </w:trPr>
        <w:tc>
          <w:tcPr>
            <w:tcW w:w="481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E75595">
            <w:pPr>
              <w:spacing w:before="120"/>
              <w:ind w:left="0" w:right="57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b/>
                <w:sz w:val="18"/>
                <w:szCs w:val="18"/>
              </w:rPr>
              <w:t>BIENES OTORGADOS EN COMODATO</w:t>
            </w:r>
          </w:p>
        </w:tc>
        <w:tc>
          <w:tcPr>
            <w:tcW w:w="1284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5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  <w:tc>
          <w:tcPr>
            <w:tcW w:w="1053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784"/>
        </w:trPr>
        <w:tc>
          <w:tcPr>
            <w:tcW w:w="481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  <w:r w:rsidRPr="001A5CA9">
              <w:rPr>
                <w:rFonts w:ascii="Noto Sans" w:eastAsia="Montserrat Light" w:hAnsi="Noto Sans" w:cs="Noto Sans"/>
                <w:sz w:val="16"/>
                <w:szCs w:val="16"/>
              </w:rPr>
              <w:t>3</w:t>
            </w:r>
          </w:p>
        </w:tc>
        <w:tc>
          <w:tcPr>
            <w:tcW w:w="3583" w:type="dxa"/>
          </w:tcPr>
          <w:p w:rsidR="005049F9" w:rsidRPr="001A5CA9" w:rsidRDefault="00E75595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Por la entrega de bienes inmuebles otorgados en comodato a terceros.</w:t>
            </w:r>
          </w:p>
        </w:tc>
        <w:tc>
          <w:tcPr>
            <w:tcW w:w="1284" w:type="dxa"/>
          </w:tcPr>
          <w:p w:rsidR="005049F9" w:rsidRPr="001A5CA9" w:rsidRDefault="00E75595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Contrato de comodato.</w:t>
            </w:r>
          </w:p>
        </w:tc>
        <w:tc>
          <w:tcPr>
            <w:tcW w:w="1276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1276" w:type="dxa"/>
          </w:tcPr>
          <w:p w:rsidR="005049F9" w:rsidRPr="001A5CA9" w:rsidRDefault="00E75595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1.2.9.3</w:t>
            </w:r>
            <w:r w:rsidRPr="001A5CA9">
              <w:rPr>
                <w:rFonts w:ascii="Noto Sans" w:eastAsia="Montserrat Light" w:hAnsi="Noto Sans" w:cs="Noto Sans"/>
                <w:sz w:val="18"/>
                <w:szCs w:val="18"/>
                <w:vertAlign w:val="superscript"/>
              </w:rPr>
              <w:t>1</w:t>
            </w: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 </w:t>
            </w: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br/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Bienes en Comodato</w:t>
            </w:r>
          </w:p>
        </w:tc>
        <w:tc>
          <w:tcPr>
            <w:tcW w:w="1275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1.2.3.1 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Terrenos</w:t>
            </w:r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y/o</w:t>
            </w:r>
          </w:p>
        </w:tc>
        <w:tc>
          <w:tcPr>
            <w:tcW w:w="1053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784"/>
        </w:trPr>
        <w:tc>
          <w:tcPr>
            <w:tcW w:w="481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5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1.2.3.2 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Viviendas </w:t>
            </w:r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</w:t>
            </w:r>
          </w:p>
        </w:tc>
        <w:tc>
          <w:tcPr>
            <w:tcW w:w="1053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784"/>
        </w:trPr>
        <w:tc>
          <w:tcPr>
            <w:tcW w:w="481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5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1.2.3.3 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Edificios No Habitacionales</w:t>
            </w:r>
          </w:p>
          <w:p w:rsidR="005A49A0" w:rsidRPr="001A5CA9" w:rsidRDefault="005A49A0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1.2.3.4</w:t>
            </w:r>
          </w:p>
          <w:p w:rsidR="005A49A0" w:rsidRPr="001A5CA9" w:rsidRDefault="005A49A0" w:rsidP="00FE0B14">
            <w:pPr>
              <w:spacing w:before="120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Infraestructura</w:t>
            </w:r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</w:t>
            </w:r>
          </w:p>
        </w:tc>
        <w:tc>
          <w:tcPr>
            <w:tcW w:w="1053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5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1.2.3.9</w:t>
            </w: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br/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Otros Bienes Inmuebles</w:t>
            </w:r>
          </w:p>
        </w:tc>
        <w:tc>
          <w:tcPr>
            <w:tcW w:w="1053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  <w:r w:rsidRPr="001A5CA9">
              <w:rPr>
                <w:rFonts w:ascii="Noto Sans" w:eastAsia="Montserrat Light" w:hAnsi="Noto Sans" w:cs="Noto Sans"/>
                <w:sz w:val="16"/>
                <w:szCs w:val="16"/>
              </w:rPr>
              <w:t>4</w:t>
            </w:r>
          </w:p>
        </w:tc>
        <w:tc>
          <w:tcPr>
            <w:tcW w:w="3583" w:type="dxa"/>
          </w:tcPr>
          <w:p w:rsidR="005049F9" w:rsidRPr="001A5CA9" w:rsidRDefault="00CA4600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Por la entrega de bienes muebles </w:t>
            </w:r>
            <w:proofErr w:type="spellStart"/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inventariables</w:t>
            </w:r>
            <w:proofErr w:type="spellEnd"/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 otorgados por la Entidad en comodato a terceros.</w:t>
            </w:r>
          </w:p>
        </w:tc>
        <w:tc>
          <w:tcPr>
            <w:tcW w:w="1284" w:type="dxa"/>
          </w:tcPr>
          <w:p w:rsidR="005049F9" w:rsidRPr="001A5CA9" w:rsidRDefault="00E75595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Contrato de comodato.</w:t>
            </w:r>
          </w:p>
        </w:tc>
        <w:tc>
          <w:tcPr>
            <w:tcW w:w="1276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1276" w:type="dxa"/>
          </w:tcPr>
          <w:p w:rsidR="005049F9" w:rsidRPr="001A5CA9" w:rsidRDefault="00E75595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1.2.9.3</w:t>
            </w:r>
            <w:r w:rsidRPr="001A5CA9">
              <w:rPr>
                <w:rFonts w:ascii="Noto Sans" w:eastAsia="Montserrat Light" w:hAnsi="Noto Sans" w:cs="Noto Sans"/>
                <w:sz w:val="18"/>
                <w:szCs w:val="18"/>
                <w:vertAlign w:val="superscript"/>
              </w:rPr>
              <w:t>1</w:t>
            </w:r>
            <w:r w:rsidRPr="001A5CA9">
              <w:rPr>
                <w:rFonts w:ascii="Noto Sans" w:eastAsia="Montserrat Light" w:hAnsi="Noto Sans" w:cs="Noto Sans"/>
                <w:sz w:val="18"/>
                <w:szCs w:val="18"/>
                <w:vertAlign w:val="superscript"/>
              </w:rPr>
              <w:br/>
            </w: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 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Bienes en Comodato</w:t>
            </w:r>
          </w:p>
        </w:tc>
        <w:tc>
          <w:tcPr>
            <w:tcW w:w="1275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1.2.4.1.1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 Muebles de Oficina y Estantería</w:t>
            </w:r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a</w:t>
            </w:r>
          </w:p>
        </w:tc>
        <w:tc>
          <w:tcPr>
            <w:tcW w:w="1053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5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1.2.4.1.3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 Equipo de Cómputo y de Tecnologías de la Información</w:t>
            </w:r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</w:t>
            </w:r>
          </w:p>
        </w:tc>
        <w:tc>
          <w:tcPr>
            <w:tcW w:w="1053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DE235F">
        <w:trPr>
          <w:trHeight w:val="1389"/>
        </w:trPr>
        <w:tc>
          <w:tcPr>
            <w:tcW w:w="481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5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1.2.4.1.9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 </w:t>
            </w:r>
            <w:r w:rsidR="00953CEA"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  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Otros Mobiliarios y Equipos de Administra-</w:t>
            </w:r>
            <w:proofErr w:type="spellStart"/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ción</w:t>
            </w:r>
            <w:proofErr w:type="spellEnd"/>
          </w:p>
          <w:p w:rsidR="00FE0B14" w:rsidRPr="001A5CA9" w:rsidRDefault="00FE0B14" w:rsidP="00DE235F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</w:t>
            </w:r>
            <w:bookmarkStart w:id="0" w:name="_GoBack"/>
            <w:bookmarkEnd w:id="0"/>
          </w:p>
        </w:tc>
        <w:tc>
          <w:tcPr>
            <w:tcW w:w="1053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5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1.2.4.2.1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 Equipos y 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lastRenderedPageBreak/>
              <w:t>Aparatos Au-</w:t>
            </w:r>
            <w:proofErr w:type="spellStart"/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diovisuales</w:t>
            </w:r>
            <w:proofErr w:type="spellEnd"/>
          </w:p>
          <w:p w:rsidR="001D5ABC" w:rsidRPr="001A5CA9" w:rsidRDefault="00231D4C" w:rsidP="00FE0B14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a</w:t>
            </w:r>
          </w:p>
        </w:tc>
        <w:tc>
          <w:tcPr>
            <w:tcW w:w="1053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5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1.2.4.2.9</w:t>
            </w:r>
            <w:r w:rsidR="001D5ABC"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    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Otro Mobiliario y Equipo </w:t>
            </w:r>
            <w:proofErr w:type="spellStart"/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Edu-cacional</w:t>
            </w:r>
            <w:proofErr w:type="spellEnd"/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 y Recreativo</w:t>
            </w:r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</w:t>
            </w:r>
          </w:p>
        </w:tc>
        <w:tc>
          <w:tcPr>
            <w:tcW w:w="1053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5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1.2.4.3.1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 Equipo Médico y de Laboratorio</w:t>
            </w:r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a</w:t>
            </w:r>
          </w:p>
        </w:tc>
        <w:tc>
          <w:tcPr>
            <w:tcW w:w="1053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5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1.2.4.3.2 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Instrumental Médico y de Laboratorio</w:t>
            </w:r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</w:t>
            </w:r>
          </w:p>
        </w:tc>
        <w:tc>
          <w:tcPr>
            <w:tcW w:w="1053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5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1.2.4.4.1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 Vehículos y Equipo Terrestre</w:t>
            </w:r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a</w:t>
            </w:r>
          </w:p>
        </w:tc>
        <w:tc>
          <w:tcPr>
            <w:tcW w:w="1053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5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1.2.4.4.5 </w:t>
            </w:r>
            <w:proofErr w:type="spellStart"/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Embarcacio-nes</w:t>
            </w:r>
            <w:proofErr w:type="spellEnd"/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</w:t>
            </w:r>
          </w:p>
        </w:tc>
        <w:tc>
          <w:tcPr>
            <w:tcW w:w="1053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5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1.2.4.4.9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 Otros Equipos de Transporte</w:t>
            </w:r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</w:t>
            </w:r>
          </w:p>
        </w:tc>
        <w:tc>
          <w:tcPr>
            <w:tcW w:w="1053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5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1.2.4.5.1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 Equipo de Defensa y Seguridad</w:t>
            </w:r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</w:t>
            </w:r>
          </w:p>
        </w:tc>
        <w:tc>
          <w:tcPr>
            <w:tcW w:w="1053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5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1.2.4.6.1 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Maquinaria y Equipo Agropecuario</w:t>
            </w:r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a</w:t>
            </w:r>
          </w:p>
        </w:tc>
        <w:tc>
          <w:tcPr>
            <w:tcW w:w="1053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5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1.2.4.6.7 </w:t>
            </w:r>
            <w:r w:rsidR="00BC7F92" w:rsidRPr="001A5CA9">
              <w:rPr>
                <w:rFonts w:ascii="Noto Sans" w:eastAsia="Montserrat Light" w:hAnsi="Noto Sans" w:cs="Noto Sans"/>
                <w:sz w:val="14"/>
                <w:szCs w:val="14"/>
              </w:rPr>
              <w:t>Herramientas y Máqui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nas</w:t>
            </w:r>
            <w:r w:rsidR="00BC7F92"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 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Herramientas</w:t>
            </w:r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</w:t>
            </w:r>
          </w:p>
        </w:tc>
        <w:tc>
          <w:tcPr>
            <w:tcW w:w="1053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645"/>
        </w:trPr>
        <w:tc>
          <w:tcPr>
            <w:tcW w:w="481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5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1.2.4.6.9 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Otros Equipos</w:t>
            </w:r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</w:t>
            </w:r>
          </w:p>
        </w:tc>
        <w:tc>
          <w:tcPr>
            <w:tcW w:w="1053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5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1.2.4.7.1 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Bienes Artísticos, Culturales y Científicos</w:t>
            </w:r>
          </w:p>
          <w:p w:rsidR="005049F9" w:rsidRPr="001A5CA9" w:rsidRDefault="00231D4C" w:rsidP="00E75595">
            <w:pPr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</w:t>
            </w:r>
          </w:p>
        </w:tc>
        <w:tc>
          <w:tcPr>
            <w:tcW w:w="1053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5" w:type="dxa"/>
          </w:tcPr>
          <w:p w:rsidR="005049F9" w:rsidRPr="001A5CA9" w:rsidRDefault="00E75595" w:rsidP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1.2.4.7.2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 Objetos de Valor</w:t>
            </w:r>
          </w:p>
        </w:tc>
        <w:tc>
          <w:tcPr>
            <w:tcW w:w="1053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  <w:r w:rsidRPr="001A5CA9">
              <w:rPr>
                <w:rFonts w:ascii="Noto Sans" w:eastAsia="Montserrat Light" w:hAnsi="Noto Sans" w:cs="Noto Sans"/>
                <w:sz w:val="16"/>
                <w:szCs w:val="16"/>
              </w:rPr>
              <w:t>5</w:t>
            </w:r>
          </w:p>
        </w:tc>
        <w:tc>
          <w:tcPr>
            <w:tcW w:w="3583" w:type="dxa"/>
          </w:tcPr>
          <w:p w:rsidR="005049F9" w:rsidRPr="001A5CA9" w:rsidRDefault="00E75595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Por la recepción en la Entidad de bienes inmuebles a la conclusión del contrato de comodato.</w:t>
            </w:r>
          </w:p>
        </w:tc>
        <w:tc>
          <w:tcPr>
            <w:tcW w:w="1284" w:type="dxa"/>
          </w:tcPr>
          <w:p w:rsidR="005049F9" w:rsidRPr="001A5CA9" w:rsidRDefault="00E75595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Contrato de comodato.</w:t>
            </w:r>
          </w:p>
        </w:tc>
        <w:tc>
          <w:tcPr>
            <w:tcW w:w="1276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1276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1.2.3.1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 Terrenos</w:t>
            </w:r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y/o</w:t>
            </w:r>
          </w:p>
        </w:tc>
        <w:tc>
          <w:tcPr>
            <w:tcW w:w="1275" w:type="dxa"/>
          </w:tcPr>
          <w:p w:rsidR="005049F9" w:rsidRPr="001A5CA9" w:rsidRDefault="00E75595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1.2.9.3</w:t>
            </w:r>
            <w:r w:rsidRPr="001A5CA9">
              <w:rPr>
                <w:rFonts w:ascii="Noto Sans" w:eastAsia="Montserrat Light" w:hAnsi="Noto Sans" w:cs="Noto Sans"/>
                <w:sz w:val="18"/>
                <w:szCs w:val="18"/>
                <w:vertAlign w:val="superscript"/>
              </w:rPr>
              <w:t>1</w:t>
            </w:r>
            <w:r w:rsidRPr="001A5CA9">
              <w:rPr>
                <w:rFonts w:ascii="Noto Sans" w:eastAsia="Montserrat Light" w:hAnsi="Noto Sans" w:cs="Noto Sans"/>
                <w:sz w:val="18"/>
                <w:szCs w:val="18"/>
                <w:vertAlign w:val="superscript"/>
              </w:rPr>
              <w:br/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Bienes en Comodato</w:t>
            </w:r>
          </w:p>
        </w:tc>
        <w:tc>
          <w:tcPr>
            <w:tcW w:w="1053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1.2.3.2 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Viviendas </w:t>
            </w:r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</w:t>
            </w:r>
          </w:p>
        </w:tc>
        <w:tc>
          <w:tcPr>
            <w:tcW w:w="1275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  <w:tc>
          <w:tcPr>
            <w:tcW w:w="1053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1.2.3.3 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Edificios No Habitacionales</w:t>
            </w:r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</w:t>
            </w:r>
          </w:p>
        </w:tc>
        <w:tc>
          <w:tcPr>
            <w:tcW w:w="1275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  <w:tc>
          <w:tcPr>
            <w:tcW w:w="1053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spacing w:before="120"/>
              <w:ind w:left="0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1.2.3.9</w:t>
            </w: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br/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Otros Bienes Inmuebles</w:t>
            </w:r>
          </w:p>
        </w:tc>
        <w:tc>
          <w:tcPr>
            <w:tcW w:w="1275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53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E75595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  <w:r w:rsidRPr="001A5CA9">
              <w:rPr>
                <w:rFonts w:ascii="Noto Sans" w:eastAsia="Montserrat Light" w:hAnsi="Noto Sans" w:cs="Noto Sans"/>
                <w:sz w:val="16"/>
                <w:szCs w:val="16"/>
              </w:rPr>
              <w:t>6</w:t>
            </w:r>
          </w:p>
        </w:tc>
        <w:tc>
          <w:tcPr>
            <w:tcW w:w="3583" w:type="dxa"/>
          </w:tcPr>
          <w:p w:rsidR="005049F9" w:rsidRPr="001A5CA9" w:rsidRDefault="00E75595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Por la recepción en la Entidad de bienes muebles </w:t>
            </w:r>
            <w:proofErr w:type="spellStart"/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inventariables</w:t>
            </w:r>
            <w:proofErr w:type="spellEnd"/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 a la conclusión del contrato de comodato.</w:t>
            </w:r>
          </w:p>
        </w:tc>
        <w:tc>
          <w:tcPr>
            <w:tcW w:w="1284" w:type="dxa"/>
          </w:tcPr>
          <w:p w:rsidR="005049F9" w:rsidRPr="001A5CA9" w:rsidRDefault="00E75595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Contrato de comodato.</w:t>
            </w:r>
          </w:p>
        </w:tc>
        <w:tc>
          <w:tcPr>
            <w:tcW w:w="1276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1276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1.2.4.1.1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 Muebles de Oficina y Estantería</w:t>
            </w:r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a</w:t>
            </w:r>
          </w:p>
        </w:tc>
        <w:tc>
          <w:tcPr>
            <w:tcW w:w="1275" w:type="dxa"/>
          </w:tcPr>
          <w:p w:rsidR="005049F9" w:rsidRPr="001A5CA9" w:rsidRDefault="00E75595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1.2.9.3</w:t>
            </w:r>
            <w:r w:rsidRPr="001A5CA9">
              <w:rPr>
                <w:rFonts w:ascii="Noto Sans" w:eastAsia="Montserrat Light" w:hAnsi="Noto Sans" w:cs="Noto Sans"/>
                <w:sz w:val="18"/>
                <w:szCs w:val="18"/>
                <w:vertAlign w:val="superscript"/>
              </w:rPr>
              <w:t>1</w:t>
            </w: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br/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Bienes en Comodato</w:t>
            </w:r>
          </w:p>
        </w:tc>
        <w:tc>
          <w:tcPr>
            <w:tcW w:w="1053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widowControl w:val="0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right="57" w:hanging="2"/>
              <w:jc w:val="both"/>
              <w:rPr>
                <w:rFonts w:ascii="Noto Sans" w:eastAsia="Montserrat Light" w:hAnsi="Noto Sans" w:cs="Noto Sans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spacing w:before="120"/>
              <w:ind w:left="0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1.2.4.1.3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 Equipo de Cómputo y de Tecnologías de la Información</w:t>
            </w:r>
          </w:p>
          <w:p w:rsidR="005049F9" w:rsidRPr="001A5CA9" w:rsidRDefault="00E75595" w:rsidP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</w:t>
            </w:r>
          </w:p>
        </w:tc>
        <w:tc>
          <w:tcPr>
            <w:tcW w:w="1275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53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spacing w:before="120"/>
              <w:ind w:left="0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4600" w:rsidRPr="001A5CA9" w:rsidRDefault="00CA4600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1.2.4.1.9</w:t>
            </w:r>
          </w:p>
          <w:p w:rsidR="005049F9" w:rsidRPr="001A5CA9" w:rsidRDefault="00CA4600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 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Otros</w:t>
            </w:r>
            <w:r w:rsidR="00E75595"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 Mobiliarios y Equipos de Administración</w:t>
            </w:r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</w:t>
            </w:r>
          </w:p>
        </w:tc>
        <w:tc>
          <w:tcPr>
            <w:tcW w:w="1275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53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</w:tr>
      <w:tr w:rsidR="005049F9" w:rsidRPr="001A5CA9" w:rsidTr="00231D4C">
        <w:trPr>
          <w:trHeight w:val="986"/>
        </w:trPr>
        <w:tc>
          <w:tcPr>
            <w:tcW w:w="481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spacing w:before="120"/>
              <w:ind w:left="0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1.2.4.2.1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 Equipos y Aparatos Au-</w:t>
            </w:r>
            <w:proofErr w:type="spellStart"/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diovisuales</w:t>
            </w:r>
            <w:proofErr w:type="spellEnd"/>
          </w:p>
          <w:p w:rsidR="00E75595" w:rsidRPr="001A5CA9" w:rsidRDefault="00E75595" w:rsidP="00E75595">
            <w:pPr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a</w:t>
            </w:r>
          </w:p>
          <w:p w:rsidR="00E75595" w:rsidRPr="001A5CA9" w:rsidRDefault="00E75595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5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53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spacing w:before="120"/>
              <w:ind w:left="0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1.2.4.2.9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   </w:t>
            </w:r>
            <w:r w:rsidR="001D5ABC"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 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Otro Mobiliario y Equipo </w:t>
            </w:r>
            <w:proofErr w:type="spellStart"/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Edu-cacional</w:t>
            </w:r>
            <w:proofErr w:type="spellEnd"/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 y Recreativo</w:t>
            </w:r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</w:t>
            </w:r>
          </w:p>
        </w:tc>
        <w:tc>
          <w:tcPr>
            <w:tcW w:w="1275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53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spacing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ind w:left="0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1.2.4.3.1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 Equipo Médico y de Laboratorio</w:t>
            </w:r>
          </w:p>
          <w:p w:rsidR="005049F9" w:rsidRPr="001A5CA9" w:rsidRDefault="00E75595" w:rsidP="00E75595">
            <w:pPr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a</w:t>
            </w:r>
          </w:p>
        </w:tc>
        <w:tc>
          <w:tcPr>
            <w:tcW w:w="1275" w:type="dxa"/>
          </w:tcPr>
          <w:p w:rsidR="005049F9" w:rsidRPr="001A5CA9" w:rsidRDefault="005049F9">
            <w:pPr>
              <w:spacing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53" w:type="dxa"/>
          </w:tcPr>
          <w:p w:rsidR="005049F9" w:rsidRPr="001A5CA9" w:rsidRDefault="005049F9">
            <w:pPr>
              <w:spacing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spacing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</w:tr>
      <w:tr w:rsidR="005049F9" w:rsidRPr="001A5CA9" w:rsidTr="00231D4C">
        <w:trPr>
          <w:trHeight w:val="1024"/>
        </w:trPr>
        <w:tc>
          <w:tcPr>
            <w:tcW w:w="481" w:type="dxa"/>
          </w:tcPr>
          <w:p w:rsidR="005049F9" w:rsidRPr="001A5CA9" w:rsidRDefault="005049F9">
            <w:pPr>
              <w:spacing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ind w:left="0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1.2.4.3.2 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Instrumental Médico y de Laboratorio</w:t>
            </w:r>
          </w:p>
          <w:p w:rsidR="005049F9" w:rsidRPr="001A5CA9" w:rsidRDefault="00BC7F92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</w:t>
            </w:r>
          </w:p>
        </w:tc>
        <w:tc>
          <w:tcPr>
            <w:tcW w:w="1275" w:type="dxa"/>
          </w:tcPr>
          <w:p w:rsidR="005049F9" w:rsidRPr="001A5CA9" w:rsidRDefault="005049F9">
            <w:pPr>
              <w:spacing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53" w:type="dxa"/>
          </w:tcPr>
          <w:p w:rsidR="005049F9" w:rsidRPr="001A5CA9" w:rsidRDefault="005049F9">
            <w:pPr>
              <w:spacing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spacing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spacing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ind w:left="0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E75595">
            <w:pPr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1.2.4.4.1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 Vehículos y Equipo Terrestre</w:t>
            </w:r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a</w:t>
            </w:r>
          </w:p>
        </w:tc>
        <w:tc>
          <w:tcPr>
            <w:tcW w:w="1275" w:type="dxa"/>
          </w:tcPr>
          <w:p w:rsidR="005049F9" w:rsidRPr="001A5CA9" w:rsidRDefault="005049F9">
            <w:pPr>
              <w:spacing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53" w:type="dxa"/>
          </w:tcPr>
          <w:p w:rsidR="005049F9" w:rsidRPr="001A5CA9" w:rsidRDefault="005049F9">
            <w:pPr>
              <w:spacing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spacing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spacing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ind w:left="0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1.2.4.4.5 </w:t>
            </w:r>
            <w:proofErr w:type="spellStart"/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Embarcacio-nes</w:t>
            </w:r>
            <w:proofErr w:type="spellEnd"/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</w:t>
            </w:r>
          </w:p>
        </w:tc>
        <w:tc>
          <w:tcPr>
            <w:tcW w:w="1275" w:type="dxa"/>
          </w:tcPr>
          <w:p w:rsidR="005049F9" w:rsidRPr="001A5CA9" w:rsidRDefault="005049F9">
            <w:pPr>
              <w:spacing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53" w:type="dxa"/>
          </w:tcPr>
          <w:p w:rsidR="005049F9" w:rsidRPr="001A5CA9" w:rsidRDefault="005049F9">
            <w:pPr>
              <w:spacing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spacing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spacing w:before="120"/>
              <w:ind w:left="0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1.2.4.4.9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 Otros Equipos de Transporte</w:t>
            </w:r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</w:t>
            </w:r>
          </w:p>
        </w:tc>
        <w:tc>
          <w:tcPr>
            <w:tcW w:w="1275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53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spacing w:before="120"/>
              <w:ind w:left="0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1.2.4.5.1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 Equipo de Defensa y Seguridad</w:t>
            </w:r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</w:t>
            </w:r>
          </w:p>
        </w:tc>
        <w:tc>
          <w:tcPr>
            <w:tcW w:w="1275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53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spacing w:before="120"/>
              <w:ind w:left="0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1.2.4.6.1 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Maquinaria y Equipo Agropecuario</w:t>
            </w:r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a</w:t>
            </w:r>
          </w:p>
        </w:tc>
        <w:tc>
          <w:tcPr>
            <w:tcW w:w="1275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53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spacing w:before="120"/>
              <w:ind w:left="0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1.2.4.6.7 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Herramientas y Máquinas-Herramientas</w:t>
            </w:r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</w:t>
            </w:r>
          </w:p>
        </w:tc>
        <w:tc>
          <w:tcPr>
            <w:tcW w:w="1275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53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spacing w:before="120"/>
              <w:ind w:left="0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1.2.4.6.9 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Otros Equipos</w:t>
            </w:r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</w:t>
            </w:r>
          </w:p>
        </w:tc>
        <w:tc>
          <w:tcPr>
            <w:tcW w:w="1275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53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5049F9">
            <w:pPr>
              <w:spacing w:before="120"/>
              <w:ind w:left="0" w:right="57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84" w:type="dxa"/>
          </w:tcPr>
          <w:p w:rsidR="005049F9" w:rsidRPr="001A5CA9" w:rsidRDefault="005049F9">
            <w:pPr>
              <w:spacing w:before="120"/>
              <w:ind w:left="0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 xml:space="preserve">1.2.4.7.1 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Bienes Artísticos, Culturales y Científicos</w:t>
            </w:r>
          </w:p>
          <w:p w:rsidR="005049F9" w:rsidRPr="001A5CA9" w:rsidRDefault="00E75595">
            <w:pPr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>o</w:t>
            </w:r>
          </w:p>
        </w:tc>
        <w:tc>
          <w:tcPr>
            <w:tcW w:w="1275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53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</w:tr>
      <w:tr w:rsidR="005049F9" w:rsidRPr="001A5CA9" w:rsidTr="00231D4C">
        <w:trPr>
          <w:trHeight w:val="319"/>
        </w:trPr>
        <w:tc>
          <w:tcPr>
            <w:tcW w:w="481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6"/>
                <w:szCs w:val="16"/>
              </w:rPr>
            </w:pPr>
          </w:p>
        </w:tc>
        <w:tc>
          <w:tcPr>
            <w:tcW w:w="3583" w:type="dxa"/>
          </w:tcPr>
          <w:p w:rsidR="005049F9" w:rsidRPr="001A5CA9" w:rsidRDefault="00E75595">
            <w:pPr>
              <w:spacing w:before="120"/>
              <w:ind w:right="57"/>
              <w:jc w:val="both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b/>
                <w:sz w:val="14"/>
                <w:szCs w:val="14"/>
              </w:rPr>
              <w:t>1 Se llevará subcuenta por tipo de bien.</w:t>
            </w:r>
          </w:p>
          <w:p w:rsidR="005049F9" w:rsidRPr="001A5CA9" w:rsidRDefault="00E75595">
            <w:pPr>
              <w:spacing w:before="120"/>
              <w:ind w:right="57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  <w:r w:rsidRPr="001A5CA9">
              <w:rPr>
                <w:rFonts w:ascii="Noto Sans" w:eastAsia="Montserrat Light" w:hAnsi="Noto Sans" w:cs="Noto Sans"/>
                <w:b/>
                <w:sz w:val="14"/>
                <w:szCs w:val="14"/>
              </w:rPr>
              <w:t>NOTA: Se continuará registrando la depreciación de los bienes otorgados en comodato en las cuentas específicas, conforme la Guía 16 Bienes Inmuebles y Muebles.</w:t>
            </w:r>
          </w:p>
        </w:tc>
        <w:tc>
          <w:tcPr>
            <w:tcW w:w="1284" w:type="dxa"/>
          </w:tcPr>
          <w:p w:rsidR="005049F9" w:rsidRPr="001A5CA9" w:rsidRDefault="005049F9">
            <w:pPr>
              <w:spacing w:before="120"/>
              <w:ind w:left="0" w:hanging="2"/>
              <w:jc w:val="both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5049F9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49F9" w:rsidRPr="001A5CA9" w:rsidRDefault="00E75595">
            <w:pPr>
              <w:spacing w:before="120"/>
              <w:ind w:left="0" w:hanging="2"/>
              <w:jc w:val="center"/>
              <w:rPr>
                <w:rFonts w:ascii="Noto Sans" w:eastAsia="Montserrat Light" w:hAnsi="Noto Sans" w:cs="Noto Sans"/>
                <w:sz w:val="14"/>
                <w:szCs w:val="14"/>
              </w:rPr>
            </w:pPr>
            <w:r w:rsidRPr="001A5CA9">
              <w:rPr>
                <w:rFonts w:ascii="Noto Sans" w:eastAsia="Montserrat Light" w:hAnsi="Noto Sans" w:cs="Noto Sans"/>
                <w:sz w:val="18"/>
                <w:szCs w:val="18"/>
              </w:rPr>
              <w:t>1.2.4.7.2</w:t>
            </w:r>
            <w:r w:rsidRPr="001A5CA9">
              <w:rPr>
                <w:rFonts w:ascii="Noto Sans" w:eastAsia="Montserrat Light" w:hAnsi="Noto Sans" w:cs="Noto Sans"/>
                <w:sz w:val="14"/>
                <w:szCs w:val="14"/>
              </w:rPr>
              <w:t xml:space="preserve"> Objetos de Valor</w:t>
            </w:r>
          </w:p>
        </w:tc>
        <w:tc>
          <w:tcPr>
            <w:tcW w:w="1275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53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  <w:tc>
          <w:tcPr>
            <w:tcW w:w="1094" w:type="dxa"/>
          </w:tcPr>
          <w:p w:rsidR="005049F9" w:rsidRPr="001A5CA9" w:rsidRDefault="005049F9">
            <w:pPr>
              <w:spacing w:before="120" w:line="276" w:lineRule="auto"/>
              <w:ind w:left="0" w:hanging="2"/>
              <w:jc w:val="center"/>
              <w:rPr>
                <w:rFonts w:ascii="Noto Sans" w:eastAsia="Montserrat Light" w:hAnsi="Noto Sans" w:cs="Noto Sans"/>
                <w:sz w:val="18"/>
                <w:szCs w:val="18"/>
              </w:rPr>
            </w:pPr>
          </w:p>
        </w:tc>
      </w:tr>
    </w:tbl>
    <w:p w:rsidR="005049F9" w:rsidRPr="001A5CA9" w:rsidRDefault="005049F9">
      <w:pPr>
        <w:rPr>
          <w:rFonts w:ascii="Noto Sans" w:eastAsia="Montserrat Light" w:hAnsi="Noto Sans" w:cs="Noto Sans"/>
          <w:sz w:val="8"/>
          <w:szCs w:val="8"/>
        </w:rPr>
      </w:pPr>
    </w:p>
    <w:sectPr w:rsidR="005049F9" w:rsidRPr="001A5C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567" w:bottom="709" w:left="567" w:header="425" w:footer="16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96F" w:rsidRDefault="0070296F">
      <w:pPr>
        <w:spacing w:line="240" w:lineRule="auto"/>
        <w:ind w:left="0" w:hanging="2"/>
      </w:pPr>
      <w:r>
        <w:separator/>
      </w:r>
    </w:p>
  </w:endnote>
  <w:endnote w:type="continuationSeparator" w:id="0">
    <w:p w:rsidR="0070296F" w:rsidRDefault="0070296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Soberana Sans Light">
    <w:altName w:val="Times New Roman"/>
    <w:charset w:val="00"/>
    <w:family w:val="auto"/>
    <w:pitch w:val="default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MX Bold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9F9" w:rsidRDefault="005049F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CA9" w:rsidRDefault="001A5CA9" w:rsidP="001A5CA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Noto Sans" w:eastAsia="Arial" w:hAnsi="Noto Sans" w:cs="Noto Sans"/>
        <w:b/>
        <w:color w:val="000000"/>
        <w:sz w:val="16"/>
        <w:szCs w:val="16"/>
      </w:rPr>
    </w:pPr>
  </w:p>
  <w:p w:rsidR="001A5CA9" w:rsidRDefault="001A5CA9" w:rsidP="001A5CA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Noto Sans" w:eastAsia="Arial" w:hAnsi="Noto Sans" w:cs="Noto Sans"/>
        <w:b/>
        <w:color w:val="000000"/>
        <w:sz w:val="16"/>
        <w:szCs w:val="16"/>
      </w:rPr>
    </w:pPr>
  </w:p>
  <w:p w:rsidR="001A5CA9" w:rsidRDefault="001A5CA9" w:rsidP="001A5CA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Noto Sans" w:eastAsia="Arial" w:hAnsi="Noto Sans" w:cs="Noto Sans"/>
        <w:b/>
        <w:color w:val="000000"/>
        <w:sz w:val="16"/>
        <w:szCs w:val="16"/>
      </w:rPr>
    </w:pPr>
  </w:p>
  <w:p w:rsidR="001A5CA9" w:rsidRDefault="001A5CA9" w:rsidP="001A5CA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Noto Sans" w:eastAsia="Arial" w:hAnsi="Noto Sans" w:cs="Noto Sans"/>
        <w:b/>
        <w:color w:val="000000"/>
        <w:sz w:val="16"/>
        <w:szCs w:val="16"/>
      </w:rPr>
    </w:pPr>
  </w:p>
  <w:p w:rsidR="005049F9" w:rsidRPr="001A5CA9" w:rsidRDefault="00E75595" w:rsidP="001A5CA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Noto Sans" w:eastAsia="Arial" w:hAnsi="Noto Sans" w:cs="Noto Sans"/>
        <w:color w:val="000000"/>
        <w:sz w:val="16"/>
        <w:szCs w:val="16"/>
      </w:rPr>
    </w:pPr>
    <w:r w:rsidRPr="001A5CA9">
      <w:rPr>
        <w:rFonts w:ascii="Noto Sans" w:eastAsia="Arial" w:hAnsi="Noto Sans" w:cs="Noto Sans"/>
        <w:b/>
        <w:color w:val="000000"/>
        <w:sz w:val="16"/>
        <w:szCs w:val="16"/>
      </w:rPr>
      <w:fldChar w:fldCharType="begin"/>
    </w:r>
    <w:r w:rsidRPr="001A5CA9">
      <w:rPr>
        <w:rFonts w:ascii="Noto Sans" w:eastAsia="Arial" w:hAnsi="Noto Sans" w:cs="Noto Sans"/>
        <w:b/>
        <w:color w:val="000000"/>
        <w:sz w:val="16"/>
        <w:szCs w:val="16"/>
      </w:rPr>
      <w:instrText>PAGE</w:instrText>
    </w:r>
    <w:r w:rsidRPr="001A5CA9">
      <w:rPr>
        <w:rFonts w:ascii="Noto Sans" w:eastAsia="Arial" w:hAnsi="Noto Sans" w:cs="Noto Sans"/>
        <w:b/>
        <w:color w:val="000000"/>
        <w:sz w:val="16"/>
        <w:szCs w:val="16"/>
      </w:rPr>
      <w:fldChar w:fldCharType="separate"/>
    </w:r>
    <w:r w:rsidR="00DE235F">
      <w:rPr>
        <w:rFonts w:ascii="Noto Sans" w:eastAsia="Arial" w:hAnsi="Noto Sans" w:cs="Noto Sans"/>
        <w:b/>
        <w:noProof/>
        <w:color w:val="000000"/>
        <w:sz w:val="16"/>
        <w:szCs w:val="16"/>
      </w:rPr>
      <w:t>5</w:t>
    </w:r>
    <w:r w:rsidRPr="001A5CA9">
      <w:rPr>
        <w:rFonts w:ascii="Noto Sans" w:eastAsia="Arial" w:hAnsi="Noto Sans" w:cs="Noto Sans"/>
        <w:b/>
        <w:color w:val="000000"/>
        <w:sz w:val="16"/>
        <w:szCs w:val="16"/>
      </w:rPr>
      <w:fldChar w:fldCharType="end"/>
    </w:r>
  </w:p>
  <w:p w:rsidR="005049F9" w:rsidRPr="001A5CA9" w:rsidRDefault="00E75595" w:rsidP="001A5CA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Noto Sans" w:eastAsia="Montserrat Light" w:hAnsi="Noto Sans" w:cs="Noto Sans"/>
        <w:color w:val="000000"/>
        <w:sz w:val="16"/>
        <w:szCs w:val="16"/>
      </w:rPr>
    </w:pPr>
    <w:r w:rsidRPr="001A5CA9">
      <w:rPr>
        <w:rFonts w:ascii="Noto Sans" w:eastAsia="Montserrat Light" w:hAnsi="Noto Sans" w:cs="Noto Sans"/>
        <w:b/>
        <w:color w:val="000000"/>
        <w:sz w:val="16"/>
        <w:szCs w:val="16"/>
      </w:rPr>
      <w:t>VIGENTE A PARTIR DEL 01-01-202</w:t>
    </w:r>
    <w:r w:rsidR="00DB7E71" w:rsidRPr="001A5CA9">
      <w:rPr>
        <w:rFonts w:ascii="Noto Sans" w:eastAsia="Montserrat Light" w:hAnsi="Noto Sans" w:cs="Noto Sans"/>
        <w:b/>
        <w:color w:val="000000"/>
        <w:sz w:val="16"/>
        <w:szCs w:val="16"/>
      </w:rPr>
      <w:t>5</w:t>
    </w:r>
  </w:p>
  <w:p w:rsidR="005049F9" w:rsidRPr="001A5CA9" w:rsidRDefault="00E75595" w:rsidP="001A5CA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Noto Sans" w:eastAsia="Montserrat Light" w:hAnsi="Noto Sans" w:cs="Noto Sans"/>
        <w:color w:val="000000"/>
        <w:sz w:val="16"/>
        <w:szCs w:val="16"/>
      </w:rPr>
    </w:pPr>
    <w:r w:rsidRPr="001A5CA9">
      <w:rPr>
        <w:rFonts w:ascii="Noto Sans" w:eastAsia="Montserrat Light" w:hAnsi="Noto Sans" w:cs="Noto Sans"/>
        <w:b/>
        <w:color w:val="000000"/>
        <w:sz w:val="16"/>
        <w:szCs w:val="16"/>
      </w:rPr>
      <w:t>Elaborado: Dirección de Contabilidad y Rendición de Cuentas</w:t>
    </w:r>
  </w:p>
  <w:p w:rsidR="005049F9" w:rsidRPr="001A5CA9" w:rsidRDefault="00E75595" w:rsidP="001A5CA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Noto Sans" w:eastAsia="Arial" w:hAnsi="Noto Sans" w:cs="Noto Sans"/>
        <w:color w:val="000000"/>
        <w:sz w:val="16"/>
        <w:szCs w:val="16"/>
      </w:rPr>
    </w:pPr>
    <w:r w:rsidRPr="001A5CA9">
      <w:rPr>
        <w:rFonts w:ascii="Noto Sans" w:eastAsia="Montserrat Light" w:hAnsi="Noto Sans" w:cs="Noto Sans"/>
        <w:b/>
        <w:color w:val="000000"/>
        <w:sz w:val="16"/>
        <w:szCs w:val="16"/>
      </w:rPr>
      <w:t>Art. 20 Ley General de Contabilidad Gubernamental</w:t>
    </w:r>
  </w:p>
  <w:p w:rsidR="005049F9" w:rsidRDefault="005049F9"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  <w:rPr>
        <w:rFonts w:ascii="Arial" w:eastAsia="Arial" w:hAnsi="Arial" w:cs="Arial"/>
        <w:color w:val="000000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9F9" w:rsidRDefault="005049F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96F" w:rsidRDefault="0070296F">
      <w:pPr>
        <w:spacing w:line="240" w:lineRule="auto"/>
        <w:ind w:left="0" w:hanging="2"/>
      </w:pPr>
      <w:r>
        <w:separator/>
      </w:r>
    </w:p>
  </w:footnote>
  <w:footnote w:type="continuationSeparator" w:id="0">
    <w:p w:rsidR="0070296F" w:rsidRDefault="0070296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9F9" w:rsidRDefault="005049F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9F9" w:rsidRDefault="001A5CA9">
    <w:pPr>
      <w:ind w:left="0" w:hanging="2"/>
      <w:rPr>
        <w:rFonts w:ascii="Soberana Sans Light" w:eastAsia="Soberana Sans Light" w:hAnsi="Soberana Sans Light" w:cs="Soberana Sans Light"/>
        <w:color w:val="7F7F7F"/>
        <w:sz w:val="16"/>
        <w:szCs w:val="16"/>
      </w:rPr>
    </w:pPr>
    <w:r>
      <w:rPr>
        <w:noProof/>
        <w:lang w:val="es-MX" w:eastAsia="es-MX"/>
      </w:rPr>
      <w:drawing>
        <wp:anchor distT="0" distB="0" distL="0" distR="0" simplePos="0" relativeHeight="251661312" behindDoc="1" locked="0" layoutInCell="1" hidden="0" allowOverlap="1" wp14:anchorId="7563B5E8" wp14:editId="0D4687BC">
          <wp:simplePos x="0" y="0"/>
          <wp:positionH relativeFrom="page">
            <wp:align>left</wp:align>
          </wp:positionH>
          <wp:positionV relativeFrom="paragraph">
            <wp:posOffset>-599059</wp:posOffset>
          </wp:positionV>
          <wp:extent cx="7795260" cy="10372954"/>
          <wp:effectExtent l="0" t="0" r="0" b="0"/>
          <wp:wrapNone/>
          <wp:docPr id="46450176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501763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6801" cy="10375004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9631A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2457450</wp:posOffset>
              </wp:positionH>
              <wp:positionV relativeFrom="paragraph">
                <wp:posOffset>-96520</wp:posOffset>
              </wp:positionV>
              <wp:extent cx="3707130" cy="5930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07130" cy="593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049F9" w:rsidRPr="001A5CA9" w:rsidRDefault="005049F9">
                          <w:pPr>
                            <w:spacing w:line="240" w:lineRule="auto"/>
                            <w:ind w:left="0" w:hanging="2"/>
                            <w:jc w:val="right"/>
                            <w:rPr>
                              <w:rFonts w:ascii="Noto Sans" w:hAnsi="Noto Sans" w:cs="Noto Sans"/>
                            </w:rPr>
                          </w:pPr>
                        </w:p>
                        <w:p w:rsidR="005049F9" w:rsidRPr="001A5CA9" w:rsidRDefault="00E75595">
                          <w:pPr>
                            <w:spacing w:line="240" w:lineRule="auto"/>
                            <w:ind w:left="0" w:hanging="2"/>
                            <w:jc w:val="right"/>
                            <w:rPr>
                              <w:rFonts w:ascii="Noto Sans" w:hAnsi="Noto Sans" w:cs="Noto Sans"/>
                            </w:rPr>
                          </w:pPr>
                          <w:r w:rsidRPr="001A5CA9">
                            <w:rPr>
                              <w:rFonts w:ascii="Noto Sans" w:eastAsia="Montserrat" w:hAnsi="Noto Sans" w:cs="Noto Sans"/>
                              <w:color w:val="000000"/>
                              <w:sz w:val="18"/>
                            </w:rPr>
                            <w:t>Unidad de Administración y Finanzas</w:t>
                          </w:r>
                        </w:p>
                        <w:p w:rsidR="005049F9" w:rsidRPr="001A5CA9" w:rsidRDefault="00E75595">
                          <w:pPr>
                            <w:spacing w:line="240" w:lineRule="auto"/>
                            <w:ind w:left="0" w:hanging="2"/>
                            <w:jc w:val="right"/>
                            <w:rPr>
                              <w:rFonts w:ascii="Noto Sans" w:hAnsi="Noto Sans" w:cs="Noto Sans"/>
                            </w:rPr>
                          </w:pPr>
                          <w:r w:rsidRPr="001A5CA9">
                            <w:rPr>
                              <w:rFonts w:ascii="Noto Sans" w:eastAsia="Montserrat" w:hAnsi="Noto Sans" w:cs="Noto Sans"/>
                              <w:color w:val="000000"/>
                              <w:sz w:val="18"/>
                            </w:rPr>
                            <w:t>Dirección General de Programación y Presupuesto</w:t>
                          </w:r>
                        </w:p>
                        <w:p w:rsidR="005049F9" w:rsidRPr="001A5CA9" w:rsidRDefault="005049F9">
                          <w:pPr>
                            <w:spacing w:line="240" w:lineRule="auto"/>
                            <w:ind w:left="0" w:hanging="2"/>
                            <w:jc w:val="right"/>
                            <w:rPr>
                              <w:rFonts w:ascii="Noto Sans" w:hAnsi="Noto Sans" w:cs="Noto Sans"/>
                            </w:rPr>
                          </w:pPr>
                        </w:p>
                        <w:p w:rsidR="005049F9" w:rsidRPr="001A5CA9" w:rsidRDefault="005049F9">
                          <w:pPr>
                            <w:spacing w:line="240" w:lineRule="auto"/>
                            <w:ind w:left="0" w:hanging="2"/>
                            <w:rPr>
                              <w:rFonts w:ascii="Noto Sans" w:hAnsi="Noto Sans" w:cs="Noto Sans"/>
                            </w:rPr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ángulo 1" o:spid="_x0000_s1026" style="position:absolute;margin-left:193.5pt;margin-top:-7.6pt;width:291.9pt;height:46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" filled="f" stroked="f">
              <v:textbox inset="2.53958mm,1.2694mm,2.53958mm,1.2694mm">
                <w:txbxContent>
                  <w:p w:rsidR="005049F9" w:rsidRPr="001A5CA9" w:rsidRDefault="005049F9">
                    <w:pPr>
                      <w:spacing w:line="240" w:lineRule="auto"/>
                      <w:ind w:left="0" w:hanging="2"/>
                      <w:jc w:val="right"/>
                      <w:rPr>
                        <w:rFonts w:ascii="Noto Sans" w:hAnsi="Noto Sans" w:cs="Noto Sans"/>
                      </w:rPr>
                    </w:pPr>
                  </w:p>
                  <w:p w:rsidR="005049F9" w:rsidRPr="001A5CA9" w:rsidRDefault="00E75595">
                    <w:pPr>
                      <w:spacing w:line="240" w:lineRule="auto"/>
                      <w:ind w:left="0" w:hanging="2"/>
                      <w:jc w:val="right"/>
                      <w:rPr>
                        <w:rFonts w:ascii="Noto Sans" w:hAnsi="Noto Sans" w:cs="Noto Sans"/>
                      </w:rPr>
                    </w:pPr>
                    <w:r w:rsidRPr="001A5CA9">
                      <w:rPr>
                        <w:rFonts w:ascii="Noto Sans" w:eastAsia="Montserrat" w:hAnsi="Noto Sans" w:cs="Noto Sans"/>
                        <w:color w:val="000000"/>
                        <w:sz w:val="18"/>
                      </w:rPr>
                      <w:t>Unidad de Administración y Finanzas</w:t>
                    </w:r>
                  </w:p>
                  <w:p w:rsidR="005049F9" w:rsidRPr="001A5CA9" w:rsidRDefault="00E75595">
                    <w:pPr>
                      <w:spacing w:line="240" w:lineRule="auto"/>
                      <w:ind w:left="0" w:hanging="2"/>
                      <w:jc w:val="right"/>
                      <w:rPr>
                        <w:rFonts w:ascii="Noto Sans" w:hAnsi="Noto Sans" w:cs="Noto Sans"/>
                      </w:rPr>
                    </w:pPr>
                    <w:r w:rsidRPr="001A5CA9">
                      <w:rPr>
                        <w:rFonts w:ascii="Noto Sans" w:eastAsia="Montserrat" w:hAnsi="Noto Sans" w:cs="Noto Sans"/>
                        <w:color w:val="000000"/>
                        <w:sz w:val="18"/>
                      </w:rPr>
                      <w:t>Dirección General de Programación y Presupuesto</w:t>
                    </w:r>
                  </w:p>
                  <w:p w:rsidR="005049F9" w:rsidRPr="001A5CA9" w:rsidRDefault="005049F9">
                    <w:pPr>
                      <w:spacing w:line="240" w:lineRule="auto"/>
                      <w:ind w:left="0" w:hanging="2"/>
                      <w:jc w:val="right"/>
                      <w:rPr>
                        <w:rFonts w:ascii="Noto Sans" w:hAnsi="Noto Sans" w:cs="Noto Sans"/>
                      </w:rPr>
                    </w:pPr>
                  </w:p>
                  <w:p w:rsidR="005049F9" w:rsidRPr="001A5CA9" w:rsidRDefault="005049F9">
                    <w:pPr>
                      <w:spacing w:line="240" w:lineRule="auto"/>
                      <w:ind w:left="0" w:hanging="2"/>
                      <w:rPr>
                        <w:rFonts w:ascii="Noto Sans" w:hAnsi="Noto Sans" w:cs="Noto Sans"/>
                      </w:rPr>
                    </w:pPr>
                  </w:p>
                </w:txbxContent>
              </v:textbox>
            </v:rect>
          </w:pict>
        </mc:Fallback>
      </mc:AlternateContent>
    </w:r>
  </w:p>
  <w:p w:rsidR="005049F9" w:rsidRDefault="005049F9">
    <w:pPr>
      <w:ind w:left="0" w:hanging="2"/>
      <w:rPr>
        <w:rFonts w:ascii="Soberana Sans Light" w:eastAsia="Soberana Sans Light" w:hAnsi="Soberana Sans Light" w:cs="Soberana Sans Light"/>
        <w:color w:val="7F7F7F"/>
        <w:sz w:val="16"/>
        <w:szCs w:val="16"/>
      </w:rPr>
    </w:pPr>
  </w:p>
  <w:p w:rsidR="005049F9" w:rsidRDefault="005049F9">
    <w:pPr>
      <w:ind w:left="0" w:hanging="2"/>
      <w:rPr>
        <w:rFonts w:ascii="Soberana Sans Light" w:eastAsia="Soberana Sans Light" w:hAnsi="Soberana Sans Light" w:cs="Soberana Sans Light"/>
        <w:color w:val="7F7F7F"/>
        <w:sz w:val="16"/>
        <w:szCs w:val="16"/>
      </w:rPr>
    </w:pPr>
  </w:p>
  <w:p w:rsidR="005049F9" w:rsidRDefault="005049F9">
    <w:pPr>
      <w:ind w:left="0" w:hanging="2"/>
      <w:rPr>
        <w:rFonts w:ascii="Soberana Sans Light" w:eastAsia="Soberana Sans Light" w:hAnsi="Soberana Sans Light" w:cs="Soberana Sans Light"/>
        <w:color w:val="7F7F7F"/>
        <w:sz w:val="16"/>
        <w:szCs w:val="16"/>
      </w:rPr>
    </w:pPr>
  </w:p>
  <w:p w:rsidR="005049F9" w:rsidRDefault="005049F9">
    <w:pPr>
      <w:ind w:left="0" w:hanging="2"/>
      <w:rPr>
        <w:rFonts w:ascii="Soberana Sans Light" w:eastAsia="Soberana Sans Light" w:hAnsi="Soberana Sans Light" w:cs="Soberana Sans Light"/>
        <w:color w:val="7F7F7F"/>
        <w:sz w:val="16"/>
        <w:szCs w:val="16"/>
      </w:rPr>
    </w:pPr>
  </w:p>
  <w:p w:rsidR="005049F9" w:rsidRDefault="005049F9">
    <w:pPr>
      <w:ind w:left="0" w:hanging="2"/>
      <w:rPr>
        <w:rFonts w:ascii="Soberana Sans Light" w:eastAsia="Soberana Sans Light" w:hAnsi="Soberana Sans Light" w:cs="Soberana Sans Light"/>
        <w:color w:val="7F7F7F"/>
        <w:sz w:val="16"/>
        <w:szCs w:val="16"/>
      </w:rPr>
    </w:pPr>
  </w:p>
  <w:tbl>
    <w:tblPr>
      <w:tblStyle w:val="a0"/>
      <w:tblW w:w="11246" w:type="dxa"/>
      <w:tblInd w:w="-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1246"/>
    </w:tblGrid>
    <w:tr w:rsidR="005049F9" w:rsidRPr="001A5CA9" w:rsidTr="001A5CA9">
      <w:trPr>
        <w:trHeight w:val="227"/>
      </w:trPr>
      <w:tc>
        <w:tcPr>
          <w:tcW w:w="11246" w:type="dxa"/>
          <w:shd w:val="clear" w:color="auto" w:fill="auto"/>
          <w:vAlign w:val="center"/>
        </w:tcPr>
        <w:p w:rsidR="005049F9" w:rsidRPr="001A5CA9" w:rsidRDefault="00E75595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spacing w:before="60" w:after="60" w:line="240" w:lineRule="auto"/>
            <w:jc w:val="center"/>
            <w:rPr>
              <w:rFonts w:ascii="Noto Sans" w:eastAsia="Calibri" w:hAnsi="Noto Sans" w:cs="Noto Sans"/>
              <w:b/>
              <w:color w:val="000000"/>
              <w:sz w:val="20"/>
              <w:szCs w:val="20"/>
            </w:rPr>
          </w:pPr>
          <w:r w:rsidRPr="001A5CA9">
            <w:rPr>
              <w:rFonts w:ascii="Noto Sans" w:eastAsia="Montserrat" w:hAnsi="Noto Sans" w:cs="Noto Sans"/>
              <w:b/>
              <w:color w:val="000000"/>
              <w:sz w:val="14"/>
              <w:szCs w:val="14"/>
            </w:rPr>
            <w:t>MANUAL DE CONTABILIDAD GUBERNAMENTAL PARA LAS ENTIDADES PARAESTATALES SECTORIZADAS AL RAMO 12</w:t>
          </w:r>
        </w:p>
      </w:tc>
    </w:tr>
  </w:tbl>
  <w:p w:rsidR="005049F9" w:rsidRPr="001A5CA9" w:rsidRDefault="005049F9">
    <w:pPr>
      <w:pBdr>
        <w:top w:val="nil"/>
        <w:left w:val="nil"/>
        <w:bottom w:val="nil"/>
        <w:right w:val="nil"/>
        <w:between w:val="nil"/>
      </w:pBdr>
      <w:spacing w:line="240" w:lineRule="auto"/>
      <w:rPr>
        <w:rFonts w:ascii="Noto Sans" w:eastAsia="Arial" w:hAnsi="Noto Sans" w:cs="Noto Sans"/>
        <w:color w:val="000000"/>
        <w:sz w:val="8"/>
        <w:szCs w:val="8"/>
      </w:rPr>
    </w:pPr>
  </w:p>
  <w:tbl>
    <w:tblPr>
      <w:tblStyle w:val="a1"/>
      <w:tblW w:w="11246" w:type="dxa"/>
      <w:tblInd w:w="-7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nil"/>
        <w:insideV w:val="nil"/>
      </w:tblBorders>
      <w:tblLayout w:type="fixed"/>
      <w:tblLook w:val="0000" w:firstRow="0" w:lastRow="0" w:firstColumn="0" w:lastColumn="0" w:noHBand="0" w:noVBand="0"/>
    </w:tblPr>
    <w:tblGrid>
      <w:gridCol w:w="11246"/>
    </w:tblGrid>
    <w:tr w:rsidR="005049F9" w:rsidRPr="001A5CA9">
      <w:trPr>
        <w:trHeight w:val="231"/>
      </w:trPr>
      <w:tc>
        <w:tcPr>
          <w:tcW w:w="11246" w:type="dxa"/>
          <w:vAlign w:val="center"/>
        </w:tcPr>
        <w:p w:rsidR="005049F9" w:rsidRPr="001A5CA9" w:rsidRDefault="00E75595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spacing w:before="60" w:after="60" w:line="240" w:lineRule="auto"/>
            <w:ind w:left="0" w:hanging="2"/>
            <w:jc w:val="center"/>
            <w:rPr>
              <w:rFonts w:ascii="Noto Sans" w:eastAsia="GMX Bold" w:hAnsi="Noto Sans" w:cs="Noto Sans"/>
              <w:b/>
              <w:color w:val="000000"/>
              <w:sz w:val="18"/>
              <w:szCs w:val="18"/>
            </w:rPr>
          </w:pPr>
          <w:r w:rsidRPr="001A5CA9">
            <w:rPr>
              <w:rFonts w:ascii="Noto Sans" w:eastAsia="GMX Bold" w:hAnsi="Noto Sans" w:cs="Noto Sans"/>
              <w:b/>
              <w:color w:val="000000"/>
              <w:sz w:val="18"/>
              <w:szCs w:val="18"/>
            </w:rPr>
            <w:t>24.- BIENES EN COMODATO</w:t>
          </w:r>
        </w:p>
      </w:tc>
    </w:tr>
  </w:tbl>
  <w:p w:rsidR="005049F9" w:rsidRPr="001A5CA9" w:rsidRDefault="005049F9">
    <w:pPr>
      <w:pBdr>
        <w:top w:val="nil"/>
        <w:left w:val="nil"/>
        <w:bottom w:val="nil"/>
        <w:right w:val="nil"/>
        <w:between w:val="nil"/>
      </w:pBdr>
      <w:spacing w:line="240" w:lineRule="auto"/>
      <w:rPr>
        <w:rFonts w:ascii="Noto Sans" w:eastAsia="Arial" w:hAnsi="Noto Sans" w:cs="Noto Sans"/>
        <w:color w:val="000000"/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9F9" w:rsidRDefault="005049F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F9"/>
    <w:rsid w:val="0017325E"/>
    <w:rsid w:val="001A5CA9"/>
    <w:rsid w:val="001A5D91"/>
    <w:rsid w:val="001D5ABC"/>
    <w:rsid w:val="00231D4C"/>
    <w:rsid w:val="0029631A"/>
    <w:rsid w:val="005049F9"/>
    <w:rsid w:val="005A49A0"/>
    <w:rsid w:val="00633861"/>
    <w:rsid w:val="0070296F"/>
    <w:rsid w:val="00953CEA"/>
    <w:rsid w:val="00BC7F92"/>
    <w:rsid w:val="00C70035"/>
    <w:rsid w:val="00CA4600"/>
    <w:rsid w:val="00DB7E71"/>
    <w:rsid w:val="00DE235F"/>
    <w:rsid w:val="00E75595"/>
    <w:rsid w:val="00FE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B87281"/>
  <w15:docId w15:val="{B6846ABA-6402-46A4-9578-6D4FDF050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ES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pPr>
      <w:keepNext/>
      <w:spacing w:after="240"/>
      <w:jc w:val="center"/>
    </w:pPr>
    <w:rPr>
      <w:rFonts w:ascii="Arial" w:hAnsi="Arial"/>
      <w:b/>
      <w:color w:val="000000"/>
      <w:sz w:val="22"/>
      <w:lang w:val="es-MX"/>
    </w:rPr>
  </w:style>
  <w:style w:type="paragraph" w:styleId="Ttulo2">
    <w:name w:val="heading 2"/>
    <w:basedOn w:val="Normal"/>
    <w:next w:val="Normal"/>
    <w:pPr>
      <w:keepNext/>
      <w:widowControl w:val="0"/>
      <w:jc w:val="center"/>
      <w:outlineLvl w:val="1"/>
    </w:pPr>
    <w:rPr>
      <w:rFonts w:ascii="Arial" w:hAnsi="Arial" w:cs="Arial"/>
      <w:b/>
      <w:bCs/>
      <w:sz w:val="18"/>
    </w:rPr>
  </w:style>
  <w:style w:type="paragraph" w:styleId="Ttulo3">
    <w:name w:val="heading 3"/>
    <w:basedOn w:val="Normal"/>
    <w:next w:val="Normal"/>
    <w:pPr>
      <w:keepNext/>
      <w:jc w:val="center"/>
      <w:outlineLvl w:val="2"/>
    </w:pPr>
    <w:rPr>
      <w:rFonts w:ascii="Arial" w:hAnsi="Arial"/>
      <w:sz w:val="18"/>
      <w:szCs w:val="20"/>
      <w:u w:val="single"/>
    </w:rPr>
  </w:style>
  <w:style w:type="paragraph" w:styleId="Ttulo4">
    <w:name w:val="heading 4"/>
    <w:basedOn w:val="Normal"/>
    <w:next w:val="Normal"/>
    <w:pPr>
      <w:keepNext/>
      <w:spacing w:before="5400" w:after="5420"/>
      <w:jc w:val="center"/>
      <w:outlineLvl w:val="3"/>
    </w:pPr>
    <w:rPr>
      <w:rFonts w:ascii="Arial" w:hAnsi="Arial"/>
      <w:b/>
      <w:sz w:val="28"/>
      <w:szCs w:val="20"/>
    </w:rPr>
  </w:style>
  <w:style w:type="paragraph" w:styleId="Ttulo5">
    <w:name w:val="heading 5"/>
    <w:basedOn w:val="Normal"/>
    <w:next w:val="Normal"/>
    <w:pPr>
      <w:keepNext/>
      <w:jc w:val="center"/>
      <w:outlineLvl w:val="4"/>
    </w:pPr>
    <w:rPr>
      <w:rFonts w:ascii="Arial" w:hAnsi="Arial"/>
      <w:color w:val="000000"/>
      <w:sz w:val="14"/>
      <w:szCs w:val="20"/>
      <w:u w:val="single"/>
    </w:rPr>
  </w:style>
  <w:style w:type="paragraph" w:styleId="Ttulo6">
    <w:name w:val="heading 6"/>
    <w:basedOn w:val="Normal"/>
    <w:next w:val="Normal"/>
    <w:pPr>
      <w:keepNext/>
      <w:spacing w:before="160"/>
      <w:ind w:left="57" w:right="57"/>
      <w:jc w:val="both"/>
      <w:outlineLvl w:val="5"/>
    </w:pPr>
    <w:rPr>
      <w:rFonts w:ascii="Arial" w:hAnsi="Arial"/>
      <w:b/>
      <w:bCs/>
      <w:sz w:val="18"/>
      <w:szCs w:val="20"/>
    </w:rPr>
  </w:style>
  <w:style w:type="paragraph" w:styleId="Ttulo9">
    <w:name w:val="heading 9"/>
    <w:basedOn w:val="Normal"/>
    <w:next w:val="Normal"/>
    <w:pPr>
      <w:keepNext/>
      <w:jc w:val="center"/>
      <w:outlineLvl w:val="8"/>
    </w:pPr>
    <w:rPr>
      <w:rFonts w:ascii="Arial" w:hAnsi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</w:style>
  <w:style w:type="paragraph" w:styleId="Piedepgina">
    <w:name w:val="footer"/>
    <w:basedOn w:val="Normal"/>
  </w:style>
  <w:style w:type="character" w:styleId="Nmerodepgina">
    <w:name w:val="page numbe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Textoindependiente">
    <w:name w:val="Body Text"/>
    <w:basedOn w:val="Normal"/>
    <w:pPr>
      <w:jc w:val="both"/>
    </w:pPr>
    <w:rPr>
      <w:rFonts w:ascii="Arial" w:hAnsi="Arial"/>
      <w:sz w:val="20"/>
      <w:szCs w:val="20"/>
      <w:lang w:val="es-MX"/>
    </w:rPr>
  </w:style>
  <w:style w:type="paragraph" w:styleId="Textoindependiente3">
    <w:name w:val="Body Text 3"/>
    <w:basedOn w:val="Normal"/>
    <w:pPr>
      <w:jc w:val="center"/>
    </w:pPr>
    <w:rPr>
      <w:rFonts w:ascii="Arial" w:hAnsi="Arial"/>
      <w:sz w:val="14"/>
      <w:szCs w:val="20"/>
    </w:rPr>
  </w:style>
  <w:style w:type="paragraph" w:styleId="Sangradetextonormal">
    <w:name w:val="Body Text Indent"/>
    <w:basedOn w:val="Normal"/>
    <w:pPr>
      <w:spacing w:after="240"/>
      <w:ind w:left="641" w:hanging="641"/>
      <w:jc w:val="both"/>
    </w:pPr>
    <w:rPr>
      <w:rFonts w:ascii="Arial" w:hAnsi="Arial"/>
      <w:b/>
      <w:color w:val="000000"/>
      <w:sz w:val="18"/>
      <w:szCs w:val="20"/>
    </w:rPr>
  </w:style>
  <w:style w:type="paragraph" w:styleId="Textoindependiente2">
    <w:name w:val="Body Text 2"/>
    <w:basedOn w:val="Normal"/>
    <w:pPr>
      <w:spacing w:before="160"/>
      <w:jc w:val="center"/>
    </w:pPr>
    <w:rPr>
      <w:rFonts w:ascii="Arial" w:hAnsi="Arial"/>
      <w:color w:val="000000"/>
      <w:sz w:val="18"/>
      <w:szCs w:val="20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iedepginaCar">
    <w:name w:val="Pie de página Car"/>
    <w:rPr>
      <w:w w:val="100"/>
      <w:position w:val="-1"/>
      <w:sz w:val="24"/>
      <w:szCs w:val="24"/>
      <w:effect w:val="none"/>
      <w:vertAlign w:val="baseline"/>
      <w:cs w:val="0"/>
      <w:em w:val="none"/>
      <w:lang w:val="es-ES" w:eastAsia="es-ES"/>
    </w:rPr>
  </w:style>
  <w:style w:type="paragraph" w:styleId="Prrafodelista">
    <w:name w:val="List Paragraph"/>
    <w:basedOn w:val="Normal"/>
    <w:pPr>
      <w:ind w:left="720"/>
      <w:contextualSpacing/>
    </w:pPr>
  </w:style>
  <w:style w:type="character" w:customStyle="1" w:styleId="Ttulo9Car">
    <w:name w:val="Título 9 Car"/>
    <w:rPr>
      <w:rFonts w:ascii="Arial" w:hAnsi="Arial"/>
      <w:b/>
      <w:w w:val="100"/>
      <w:position w:val="-1"/>
      <w:effect w:val="none"/>
      <w:vertAlign w:val="baseline"/>
      <w:cs w:val="0"/>
      <w:em w:val="none"/>
      <w:lang w:val="es-ES" w:eastAsia="es-ES"/>
    </w:rPr>
  </w:style>
  <w:style w:type="character" w:customStyle="1" w:styleId="EncabezadoCar">
    <w:name w:val="Encabezado Car"/>
    <w:rPr>
      <w:w w:val="100"/>
      <w:position w:val="-1"/>
      <w:sz w:val="24"/>
      <w:szCs w:val="24"/>
      <w:effect w:val="none"/>
      <w:vertAlign w:val="baseline"/>
      <w:cs w:val="0"/>
      <w:em w:val="none"/>
      <w:lang w:val="es-ES" w:eastAsia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s-ES" w:eastAsia="es-ES"/>
    </w:rPr>
  </w:style>
  <w:style w:type="character" w:styleId="Refdecomentario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comentario">
    <w:name w:val="annotation text"/>
    <w:basedOn w:val="Normal"/>
    <w:rPr>
      <w:sz w:val="20"/>
      <w:szCs w:val="20"/>
    </w:rPr>
  </w:style>
  <w:style w:type="character" w:customStyle="1" w:styleId="TextocomentarioCar">
    <w:name w:val="Texto comentario Car"/>
    <w:rPr>
      <w:w w:val="100"/>
      <w:position w:val="-1"/>
      <w:effect w:val="none"/>
      <w:vertAlign w:val="baseline"/>
      <w:cs w:val="0"/>
      <w:em w:val="none"/>
      <w:lang w:val="es-ES" w:eastAsia="es-ES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rPr>
      <w:b/>
      <w:bCs/>
      <w:w w:val="100"/>
      <w:position w:val="-1"/>
      <w:effect w:val="none"/>
      <w:vertAlign w:val="baseline"/>
      <w:cs w:val="0"/>
      <w:em w:val="none"/>
      <w:lang w:val="es-ES"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aAWjGPGi3UCERKAs5o1Irw9I2g==">AMUW2mWEamiRumn3Aq0SEFzcLWP2dQMFddJOpurbbn8LakXIV4J9ny1lTQzLAT0QLghHIMdVc8rwkuVUXAdYENdamLvka6Z53oou8QPaMyQbbX/6repmfH0=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521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 de Angeles Raquel Ruiz Real</dc:creator>
  <cp:lastModifiedBy>Jenifer Carbajal Gómez</cp:lastModifiedBy>
  <cp:revision>5</cp:revision>
  <cp:lastPrinted>2023-02-17T17:43:00Z</cp:lastPrinted>
  <dcterms:created xsi:type="dcterms:W3CDTF">2024-10-24T22:57:00Z</dcterms:created>
  <dcterms:modified xsi:type="dcterms:W3CDTF">2025-04-08T16:57:00Z</dcterms:modified>
</cp:coreProperties>
</file>